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E77E10" w:rsidRPr="00E77E10">
        <w:rPr>
          <w:rFonts w:hint="eastAsia"/>
        </w:rPr>
        <w:t>环境政策分析</w:t>
      </w:r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00"/>
        <w:gridCol w:w="795"/>
        <w:gridCol w:w="1545"/>
        <w:gridCol w:w="540"/>
        <w:gridCol w:w="1440"/>
        <w:gridCol w:w="180"/>
        <w:gridCol w:w="1244"/>
        <w:gridCol w:w="2017"/>
      </w:tblGrid>
      <w:tr w:rsidR="00CC4529" w:rsidRPr="00037273" w:rsidTr="00EC4500">
        <w:trPr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E77E1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E77E10">
              <w:rPr>
                <w:rFonts w:hint="eastAsia"/>
              </w:rPr>
              <w:t>环境政策分析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E77E1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E77E10">
              <w:t>21017259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B33465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2</w:t>
            </w:r>
          </w:p>
        </w:tc>
      </w:tr>
      <w:tr w:rsidR="00CC4529" w:rsidRPr="00037273" w:rsidTr="009D12D8">
        <w:trPr>
          <w:trHeight w:hRule="exact" w:val="2096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9D12D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专业</w:t>
            </w:r>
            <w:r w:rsidR="00E77E10">
              <w:rPr>
                <w:rFonts w:hint="eastAsia"/>
              </w:rPr>
              <w:t>必</w:t>
            </w:r>
            <w:r>
              <w:t>修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E77E10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 w:rsidRPr="00E77E10">
              <w:rPr>
                <w:rFonts w:hint="eastAsia"/>
              </w:rPr>
              <w:t>公共事业管理本科生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E77E10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  <w:r w:rsidRPr="00E77E10">
              <w:rPr>
                <w:rStyle w:val="text2"/>
                <w:rFonts w:hint="eastAsia"/>
                <w:sz w:val="28"/>
                <w:szCs w:val="28"/>
              </w:rPr>
              <w:t>环境规划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E77E1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E77E10">
              <w:rPr>
                <w:rFonts w:hint="eastAsia"/>
              </w:rPr>
              <w:t>宋国君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教授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E77E10" w:rsidRPr="00E77E10">
              <w:rPr>
                <w:rFonts w:hint="eastAsia"/>
              </w:rPr>
              <w:t>中国人民大学环境</w:t>
            </w:r>
            <w:proofErr w:type="gramStart"/>
            <w:r w:rsidR="00E77E10" w:rsidRPr="00E77E10">
              <w:rPr>
                <w:rFonts w:hint="eastAsia"/>
              </w:rPr>
              <w:t>学院楼</w:t>
            </w:r>
            <w:proofErr w:type="gramEnd"/>
            <w:r w:rsidR="00E77E10" w:rsidRPr="00E77E10">
              <w:rPr>
                <w:rFonts w:hint="eastAsia"/>
              </w:rPr>
              <w:t>310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E77E10" w:rsidRPr="00E77E10">
              <w:rPr>
                <w:rFonts w:hint="eastAsia"/>
              </w:rPr>
              <w:t>：(86-10）6251 2045</w:t>
            </w:r>
            <w:r w:rsidR="00444058">
              <w:t xml:space="preserve"> </w:t>
            </w:r>
            <w:r w:rsidR="00E77E10">
              <w:t xml:space="preserve"> </w:t>
            </w:r>
            <w:r w:rsidR="00E77E10" w:rsidRPr="00E77E10">
              <w:t>songguojun@ruc.edu.cn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9D12D8" w:rsidRDefault="00E77E1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E77E10">
              <w:rPr>
                <w:rFonts w:hint="eastAsia"/>
              </w:rPr>
              <w:t>环境保护公共政策是本专业的专业课程，通过本课程的学习，要达到：掌握中国环境政策的基本内容；基本掌握环境政策分析的一般方法和模式；了解市场经济体制国家的环境政策；基本能够应用环境政策分析的一般模式分析现实的环境政策。</w:t>
            </w:r>
          </w:p>
        </w:tc>
      </w:tr>
      <w:tr w:rsidR="00CC4529" w:rsidRPr="00037273" w:rsidTr="00B70361">
        <w:trPr>
          <w:trHeight w:val="14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E77E1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E77E10">
              <w:rPr>
                <w:rFonts w:hint="eastAsia"/>
              </w:rPr>
              <w:t>课程的内容可以分为3部分，第一部分是环境政策分析的理论和方法，包括外部性与环境政策、环境政策手段分析、环境政策分析的一般模式；第二部分是中国环境法律法规和环境管理制度及管理体制分析，包括环境保护法律体系分析、环境管理体制分析和环境管理制度分析；第三部分是基于环境介质分类的环境政策，包括大气污染控制政策分析、水环境保护政策分析、固体废物和危险废物管理政策分析、自然保护区政策分析和国际环境政策分析，该部分内容同时介绍市场经济体制国家的环境政策。</w:t>
            </w:r>
          </w:p>
        </w:tc>
      </w:tr>
      <w:tr w:rsidR="00CC4529" w:rsidRPr="00037273" w:rsidTr="00EC4500">
        <w:trPr>
          <w:trHeight w:hRule="exact" w:val="86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平时考核</w:t>
            </w:r>
            <w:r w:rsidRPr="00037273">
              <w:rPr>
                <w:rFonts w:hint="eastAsia"/>
                <w:sz w:val="28"/>
                <w:szCs w:val="28"/>
              </w:rPr>
              <w:lastRenderedPageBreak/>
              <w:t xml:space="preserve">（ </w:t>
            </w:r>
            <w:r w:rsidR="00E77E10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EC4500">
        <w:trPr>
          <w:trHeight w:hRule="exact" w:val="114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F6230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4529" w:rsidRPr="00037273" w:rsidTr="00B33465">
        <w:trPr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E77E10">
              <w:rPr>
                <w:rFonts w:hint="eastAsia"/>
                <w:sz w:val="28"/>
                <w:szCs w:val="28"/>
              </w:rPr>
              <w:t>4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CC4529" w:rsidRPr="00037273" w:rsidTr="00B33465">
        <w:trPr>
          <w:trHeight w:hRule="exact" w:val="26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E77E1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E77E10">
              <w:rPr>
                <w:rFonts w:hint="eastAsia"/>
              </w:rPr>
              <w:t>每人完成1篇论文，5000-7000字，按照发表文章的格式。</w:t>
            </w: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39325E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B70361" w:rsidRDefault="00B70361" w:rsidP="00B70361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299"/>
        <w:gridCol w:w="1926"/>
        <w:gridCol w:w="2974"/>
        <w:gridCol w:w="1229"/>
        <w:gridCol w:w="1423"/>
      </w:tblGrid>
      <w:tr w:rsidR="00E77E10" w:rsidRPr="00037273" w:rsidTr="00E77E10">
        <w:trPr>
          <w:trHeight w:val="300"/>
          <w:jc w:val="center"/>
        </w:trPr>
        <w:tc>
          <w:tcPr>
            <w:tcW w:w="661" w:type="dxa"/>
            <w:vMerge w:val="restart"/>
            <w:vAlign w:val="center"/>
          </w:tcPr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1299" w:type="dxa"/>
            <w:vMerge w:val="restart"/>
            <w:vAlign w:val="center"/>
          </w:tcPr>
          <w:p w:rsidR="00E77E10" w:rsidRPr="00037273" w:rsidRDefault="00E77E10" w:rsidP="00F6661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1926" w:type="dxa"/>
            <w:vMerge w:val="restart"/>
            <w:vAlign w:val="center"/>
          </w:tcPr>
          <w:p w:rsidR="00E77E10" w:rsidRPr="00037273" w:rsidRDefault="00E77E10" w:rsidP="00F6661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2974" w:type="dxa"/>
            <w:vMerge w:val="restart"/>
            <w:vAlign w:val="center"/>
          </w:tcPr>
          <w:p w:rsidR="00E77E10" w:rsidRPr="00037273" w:rsidRDefault="00E77E10" w:rsidP="00F6661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2652" w:type="dxa"/>
            <w:gridSpan w:val="2"/>
            <w:vAlign w:val="center"/>
          </w:tcPr>
          <w:p w:rsidR="00E77E10" w:rsidRPr="00037273" w:rsidRDefault="00E77E10" w:rsidP="00F6661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E77E10" w:rsidRPr="00037273" w:rsidTr="00E77E10">
        <w:trPr>
          <w:trHeight w:val="6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F6661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Merge/>
            <w:vAlign w:val="center"/>
          </w:tcPr>
          <w:p w:rsidR="00E77E10" w:rsidRPr="00037273" w:rsidRDefault="00E77E10" w:rsidP="00F6661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77E10" w:rsidRPr="00037273" w:rsidRDefault="00E77E10" w:rsidP="00F6661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vMerge/>
            <w:vAlign w:val="center"/>
          </w:tcPr>
          <w:p w:rsidR="00E77E10" w:rsidRPr="00037273" w:rsidRDefault="00E77E10" w:rsidP="00F6661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E77E10" w:rsidRPr="00570576" w:rsidRDefault="00E77E10" w:rsidP="00F66613">
            <w:pPr>
              <w:pStyle w:val="a3"/>
              <w:adjustRightInd w:val="0"/>
              <w:snapToGrid w:val="0"/>
              <w:spacing w:line="240" w:lineRule="exact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1423" w:type="dxa"/>
            <w:vAlign w:val="center"/>
          </w:tcPr>
          <w:p w:rsidR="00E77E10" w:rsidRPr="00570576" w:rsidRDefault="00E77E10" w:rsidP="00F66613">
            <w:pPr>
              <w:pStyle w:val="a3"/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E77E10" w:rsidRPr="00037273" w:rsidTr="00E77E10">
        <w:trPr>
          <w:trHeight w:hRule="exact" w:val="2268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第1周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idowControl/>
              <w:wordWrap w:val="0"/>
              <w:jc w:val="left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环境政策概论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包括环境保护公共政策的含义、环境政策的分类、环境政策制定的一般原则、环境政策的发展趋势、环境政策的基本内容、中国环境保护公共政策框架、环境保护公共政策设计、环境政策的实施、政策实施评估等内容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环境政策分析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hRule="exact" w:val="2268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第2周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外部性理论与环境政策分析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外部性分析的基本理论框架，包括三个层次：</w:t>
            </w:r>
            <w:r>
              <w:rPr>
                <w:rFonts w:ascii="微软雅黑" w:eastAsia="微软雅黑" w:hAnsi="微软雅黑" w:cs="微软雅黑" w:hint="eastAsia"/>
                <w:color w:val="363636"/>
                <w:sz w:val="18"/>
                <w:szCs w:val="18"/>
              </w:rPr>
              <w:t>①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外部性的生命周期模型以及外部性的合理规模，是政策分析的基础；</w:t>
            </w:r>
            <w:r>
              <w:rPr>
                <w:rFonts w:ascii="微软雅黑" w:eastAsia="微软雅黑" w:hAnsi="微软雅黑" w:cs="微软雅黑" w:hint="eastAsia"/>
                <w:color w:val="363636"/>
                <w:sz w:val="18"/>
                <w:szCs w:val="18"/>
              </w:rPr>
              <w:t>②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环境外部性理论，包括环境外部性的主体、影响范围和大小，是外部性理论在环境政策分析领域运用的基础；</w:t>
            </w:r>
            <w:r>
              <w:rPr>
                <w:rFonts w:ascii="微软雅黑" w:eastAsia="微软雅黑" w:hAnsi="微软雅黑" w:cs="微软雅黑" w:hint="eastAsia"/>
                <w:color w:val="363636"/>
                <w:sz w:val="18"/>
                <w:szCs w:val="18"/>
              </w:rPr>
              <w:t>③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环境政策分析的基本原则包括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小政府与大市场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”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、政策体系的完备性与差别性、中央与地方政府的分工、政策的民主化进程等。中国环境政策面临的问题严峻，环境政策分析需要更多的利用干系人参与和市场机制。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hRule="exact" w:val="2268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环境政策手段分析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通过对环境政策手段的归纳和分析，为环境政策的选择与组合提出建议。政策手段分为命令控制、经济刺激、劝说与鼓励三类。命令控制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型手段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确定性好，但经济效率低，持续改进性不好；经济刺激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型手段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经济效率高，持续改进性好，但确定性不强等。于是就需要根据不同的条件和政策目标，选择出最适合的环境政策手段类型。在环境政策手段的选用方面，不力求单一，而是强调各取所长，注重环境政策手段的选择和组合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hRule="exact" w:val="2268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环境政策分析的一般模式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提出的环境政策分析的一般模式，包括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个基本要素，即干系人责任机制分析、问题的识别和确认、政策目标分析、环境政策框架分析、决策机制分析、管理机制分析、环境政策评估和环境政策完善建议。为每个要素的分析提出了基本问题，环境政策分析就是完整回答这些基本问题的过程。环境政策分析的目标和深度取决于用户的需求，通过对各要素基本问题的分析，判断影响政策公平和效率的因素和环节，为政策的修订、终止提供依据。环境政策分析的具体模式可以依据一般模式细化或简化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环境管理体制分析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对环境管理体制进行了系统的分析。首先归纳了环境管理的三种思路，分别是按照管理要素、全过程管理和按照环境要素的管理思路。理想的环境管理体制应当满足六个条件：即小政府原则、合适级别的政府、完备的信息管理体系、公开透明的决策机制、执行能力与决策相匹配、有力的问责和及时的回应机制。这些条件也是评估管理体制的标准。对照该标准，逐条分析环境管理体制存在的问题，最后结合外部性理论提出了相应的建议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熟悉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空气质量管理概论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空气质量与人群健康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空气质量标准、监测与评估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点源、移动源和面源及排放控制特点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点源基于技术的排放标准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空气质量达标规划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空气质量评估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空气质量标准、空气质量监测数据、气象因素的剔除、空气质量管理绩效评估。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空气污染健康损失评估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基于美国健康损失评估规范，介绍京津冀空气污染健康损失评估案例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了解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固定源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排污许可证制度和空气质量达标规划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固定源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排污许可证制度框架设计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燃煤电厂排污许可证案例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城市空气质量达标规划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10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同上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同上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hRule="exact" w:val="1984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11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地表水质管理概论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地表水质标准：指定用途、水质基准、反退化政策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点源排放标准：基于技术的排放限值、基于地表水质的排放限值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点源排污许可证制度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地表水质达标规划：非点源和点源排放控制优化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流域规划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12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点源排污许可证制度及案例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点源排污许可证制度框架设计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城市污水处理厂排污许可证设计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熟练掌握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点源基于技术的排放限值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美国点源基于技术的排放限值体系和制定方法概论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了解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地表水质管理政策课堂讨论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课堂讨论，结合作业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城市生活垃圾管理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城市生活垃圾管理的目标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源头分类制度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资源回收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制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制度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城市生活垃圾管理绩效评估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城市圣湖垃圾管理制度框架设计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熟悉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节能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减碳政策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分析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中国的节能、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减碳战略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和实践分析；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中国城市能效标杆及评估研究。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了解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val="20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政策的实施与政策评估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介绍环境政策评估的一般模式，包括政策设计目标、实施的机构、监测、评估指标体系设计、实施方案设计及淮河案例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案例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。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熟悉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hRule="exact" w:val="624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spacing w:line="375" w:lineRule="atLeast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论文讨论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spacing w:line="375" w:lineRule="atLeast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课堂讨论，结合作业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spacing w:line="375" w:lineRule="atLeast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  <w:tr w:rsidR="00E77E10" w:rsidRPr="00037273" w:rsidTr="00E77E10">
        <w:trPr>
          <w:trHeight w:hRule="exact" w:val="624"/>
          <w:jc w:val="center"/>
        </w:trPr>
        <w:tc>
          <w:tcPr>
            <w:tcW w:w="661" w:type="dxa"/>
            <w:vMerge/>
            <w:vAlign w:val="center"/>
          </w:tcPr>
          <w:p w:rsidR="00E77E10" w:rsidRPr="00037273" w:rsidRDefault="00E77E10" w:rsidP="00E77E1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E77E10" w:rsidRPr="00037273" w:rsidRDefault="00E77E10" w:rsidP="00E77E10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spacing w:line="375" w:lineRule="atLeast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论文讨论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spacing w:line="375" w:lineRule="atLeast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课堂讨论，结合作业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77E10" w:rsidRDefault="00E77E10" w:rsidP="00E77E10">
            <w:pPr>
              <w:wordWrap w:val="0"/>
              <w:spacing w:line="375" w:lineRule="atLeast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E77E10" w:rsidRDefault="00E77E10" w:rsidP="00E77E10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2</w:t>
            </w:r>
          </w:p>
        </w:tc>
      </w:tr>
    </w:tbl>
    <w:p w:rsidR="00E77E10" w:rsidRPr="00037273" w:rsidRDefault="00E77E10" w:rsidP="00CC4529">
      <w:pPr>
        <w:adjustRightInd w:val="0"/>
        <w:snapToGrid w:val="0"/>
        <w:spacing w:line="300" w:lineRule="auto"/>
        <w:rPr>
          <w:rFonts w:ascii="宋体" w:hint="eastAsia"/>
          <w:b/>
          <w:sz w:val="28"/>
          <w:szCs w:val="28"/>
        </w:rPr>
      </w:pPr>
    </w:p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</w:t>
      </w:r>
      <w:bookmarkStart w:id="0" w:name="_GoBack"/>
      <w:bookmarkEnd w:id="0"/>
      <w:r>
        <w:rPr>
          <w:rFonts w:ascii="宋体" w:hAnsi="宋体" w:hint="eastAsia"/>
          <w:szCs w:val="21"/>
        </w:rPr>
        <w:t>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F62305" w:rsidRDefault="00E77E10" w:rsidP="00F62305">
      <w:pPr>
        <w:adjustRightInd w:val="0"/>
        <w:snapToGrid w:val="0"/>
        <w:spacing w:line="300" w:lineRule="auto"/>
        <w:rPr>
          <w:sz w:val="28"/>
          <w:szCs w:val="28"/>
        </w:rPr>
      </w:pPr>
      <w:r w:rsidRPr="00E77E10">
        <w:rPr>
          <w:rFonts w:hint="eastAsia"/>
        </w:rPr>
        <w:t>宋国君等著，环境政策分析，环境规划与管理</w:t>
      </w:r>
    </w:p>
    <w:p w:rsidR="00F62305" w:rsidRDefault="00F62305" w:rsidP="00F62305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45" w:rsidRDefault="007B6A45" w:rsidP="00306D4E">
      <w:r>
        <w:separator/>
      </w:r>
    </w:p>
  </w:endnote>
  <w:endnote w:type="continuationSeparator" w:id="0">
    <w:p w:rsidR="007B6A45" w:rsidRDefault="007B6A45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45" w:rsidRDefault="007B6A45" w:rsidP="00306D4E">
      <w:r>
        <w:separator/>
      </w:r>
    </w:p>
  </w:footnote>
  <w:footnote w:type="continuationSeparator" w:id="0">
    <w:p w:rsidR="007B6A45" w:rsidRDefault="007B6A45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E62E8"/>
    <w:rsid w:val="00137AD6"/>
    <w:rsid w:val="002832A5"/>
    <w:rsid w:val="00306D4E"/>
    <w:rsid w:val="0039325E"/>
    <w:rsid w:val="004007BE"/>
    <w:rsid w:val="00444058"/>
    <w:rsid w:val="004D4635"/>
    <w:rsid w:val="00635629"/>
    <w:rsid w:val="00650D41"/>
    <w:rsid w:val="006866C8"/>
    <w:rsid w:val="006A2D11"/>
    <w:rsid w:val="0076340D"/>
    <w:rsid w:val="007B6A45"/>
    <w:rsid w:val="007E7CDF"/>
    <w:rsid w:val="008F5A0A"/>
    <w:rsid w:val="009D12D8"/>
    <w:rsid w:val="009D5A15"/>
    <w:rsid w:val="00A04B47"/>
    <w:rsid w:val="00A571E6"/>
    <w:rsid w:val="00A956A3"/>
    <w:rsid w:val="00A97A03"/>
    <w:rsid w:val="00AE165E"/>
    <w:rsid w:val="00B33465"/>
    <w:rsid w:val="00B70361"/>
    <w:rsid w:val="00BE3CE6"/>
    <w:rsid w:val="00CC4529"/>
    <w:rsid w:val="00CD41F1"/>
    <w:rsid w:val="00E71E0C"/>
    <w:rsid w:val="00E77E10"/>
    <w:rsid w:val="00E9527B"/>
    <w:rsid w:val="00ED439D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11C92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12</cp:revision>
  <dcterms:created xsi:type="dcterms:W3CDTF">2016-12-14T06:43:00Z</dcterms:created>
  <dcterms:modified xsi:type="dcterms:W3CDTF">2018-09-28T06:42:00Z</dcterms:modified>
</cp:coreProperties>
</file>