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C90653">
        <w:t>环境科学与工程新进展</w:t>
      </w:r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00"/>
        <w:gridCol w:w="795"/>
        <w:gridCol w:w="1545"/>
        <w:gridCol w:w="540"/>
        <w:gridCol w:w="1440"/>
        <w:gridCol w:w="180"/>
        <w:gridCol w:w="1244"/>
        <w:gridCol w:w="2017"/>
      </w:tblGrid>
      <w:tr w:rsidR="00CC4529" w:rsidRPr="00037273" w:rsidTr="00EC4500">
        <w:trPr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环境科学与工程新进展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21014961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90653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2</w:t>
            </w:r>
          </w:p>
        </w:tc>
      </w:tr>
      <w:tr w:rsidR="00CC4529" w:rsidRPr="00037273" w:rsidTr="00B33465">
        <w:trPr>
          <w:trHeight w:hRule="exact" w:val="679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专业选修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35"/>
            </w:tblGrid>
            <w:tr w:rsidR="00C90653" w:rsidRPr="00C90653" w:rsidTr="00C90653">
              <w:trPr>
                <w:tblCellSpacing w:w="5" w:type="dxa"/>
                <w:jc w:val="center"/>
              </w:trPr>
              <w:tc>
                <w:tcPr>
                  <w:tcW w:w="66" w:type="dxa"/>
                  <w:vAlign w:val="center"/>
                  <w:hideMark/>
                </w:tcPr>
                <w:p w:rsidR="00C90653" w:rsidRPr="00C90653" w:rsidRDefault="00C90653" w:rsidP="00C90653">
                  <w:pPr>
                    <w:widowControl/>
                    <w:jc w:val="left"/>
                    <w:rPr>
                      <w:rFonts w:ascii="宋体" w:eastAsia="Times New Roman" w:hAnsi="宋体" w:cs="宋体"/>
                      <w:kern w:val="0"/>
                      <w:sz w:val="24"/>
                      <w:szCs w:val="20"/>
                    </w:rPr>
                  </w:pP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C90653" w:rsidRPr="00C90653" w:rsidRDefault="00C90653" w:rsidP="00C9065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proofErr w:type="gramStart"/>
                  <w:r w:rsidRPr="00C90653">
                    <w:rPr>
                      <w:rFonts w:ascii="宋体" w:hAnsi="宋体" w:cs="宋体"/>
                      <w:kern w:val="0"/>
                      <w:sz w:val="24"/>
                    </w:rPr>
                    <w:t>环工和</w:t>
                  </w:r>
                  <w:proofErr w:type="gramEnd"/>
                  <w:r w:rsidRPr="00C90653">
                    <w:rPr>
                      <w:rFonts w:ascii="宋体" w:hAnsi="宋体" w:cs="宋体"/>
                      <w:kern w:val="0"/>
                      <w:sz w:val="24"/>
                    </w:rPr>
                    <w:t xml:space="preserve">环科大四学生 </w:t>
                  </w:r>
                </w:p>
              </w:tc>
            </w:tr>
          </w:tbl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4457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无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C849D0">
              <w:rPr>
                <w:rFonts w:hint="eastAsia"/>
              </w:rPr>
              <w:tab/>
            </w:r>
            <w:r w:rsidR="00C90653">
              <w:rPr>
                <w:rFonts w:hint="eastAsia"/>
              </w:rPr>
              <w:t>王洪臣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教授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C849D0">
              <w:t>中国人民大学环境</w:t>
            </w:r>
            <w:proofErr w:type="gramStart"/>
            <w:r w:rsidR="00C849D0">
              <w:t>学院楼</w:t>
            </w:r>
            <w:proofErr w:type="gramEnd"/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C90653">
              <w:t>whc@ruc.edu.cn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C44579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了解环境科学与工程领域的状态（发达环境质量状况）和问题（新出现的热点问题）； 扩大环境科学与工程领域的新方向（解决传统问题的新方向）和新技术（新技术动态）。</w:t>
            </w:r>
          </w:p>
        </w:tc>
      </w:tr>
      <w:tr w:rsidR="00CC4529" w:rsidRPr="00037273" w:rsidTr="00B70361">
        <w:trPr>
          <w:trHeight w:val="14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了解环境科学与工程领域的状态（发达环境质量状况）和问题（新出现的热点问题）； 扩大环境科学与工程领域的新方向（解决传统问题的新方向）和新技术（新技术动态）。</w:t>
            </w:r>
          </w:p>
        </w:tc>
      </w:tr>
      <w:tr w:rsidR="00CC4529" w:rsidRPr="00037273" w:rsidTr="00EC4500">
        <w:trPr>
          <w:trHeight w:hRule="exact" w:val="86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平时考核（ </w:t>
            </w:r>
            <w:r w:rsidR="008F5A0A">
              <w:rPr>
                <w:rFonts w:hint="eastAsia"/>
                <w:sz w:val="28"/>
                <w:szCs w:val="28"/>
              </w:rPr>
              <w:t>40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EC4500">
        <w:trPr>
          <w:trHeight w:hRule="exact" w:val="114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9065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C4529" w:rsidRPr="00037273" w:rsidTr="00B33465">
        <w:trPr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8F5A0A">
              <w:rPr>
                <w:rFonts w:hint="eastAsia"/>
                <w:sz w:val="28"/>
                <w:szCs w:val="28"/>
              </w:rPr>
              <w:t>60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  <w:r w:rsidRPr="00C44579">
              <w:rPr>
                <w:rFonts w:hint="eastAsia"/>
                <w:sz w:val="28"/>
                <w:szCs w:val="28"/>
              </w:rPr>
              <w:tab/>
            </w:r>
            <w:r w:rsidR="00C90653">
              <w:t>总结课程学习内容。</w:t>
            </w:r>
          </w:p>
        </w:tc>
      </w:tr>
      <w:tr w:rsidR="00CC4529" w:rsidRPr="00037273" w:rsidTr="00B33465">
        <w:trPr>
          <w:trHeight w:hRule="exact" w:val="26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本课程采用研究性教学方式，学生按照教师要求研究清楚某一题目，上台做学术报告，之后教师主持讨论。教师将提供大量丰富文献资料。</w:t>
            </w: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39325E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B70361" w:rsidRDefault="00B70361" w:rsidP="00B70361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302"/>
        <w:gridCol w:w="1930"/>
        <w:gridCol w:w="2980"/>
        <w:gridCol w:w="1231"/>
        <w:gridCol w:w="1426"/>
      </w:tblGrid>
      <w:tr w:rsidR="00C90653" w:rsidRPr="00037273" w:rsidTr="00C90653">
        <w:trPr>
          <w:trHeight w:val="30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C90653" w:rsidRPr="00037273" w:rsidTr="00C90653">
        <w:trPr>
          <w:trHeight w:val="620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570576" w:rsidRDefault="00C90653" w:rsidP="00EC4500">
            <w:pPr>
              <w:pStyle w:val="a3"/>
              <w:adjustRightInd w:val="0"/>
              <w:snapToGrid w:val="0"/>
              <w:spacing w:line="240" w:lineRule="exact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570576" w:rsidRDefault="00C90653" w:rsidP="00EC4500">
            <w:pPr>
              <w:pStyle w:val="a3"/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第1周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pPr>
              <w:widowControl/>
              <w:jc w:val="left"/>
            </w:pPr>
            <w:r>
              <w:t>1.</w:t>
            </w:r>
            <w:r>
              <w:t>全球气候变化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气候变化自然科学基础；可再生能源与气候变化；二氧化碳捕获和封存；全球温室气体排放概况。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球气候变化文献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第2周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1.</w:t>
            </w:r>
            <w:r>
              <w:t>全球气候变化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气候变化自然科学基础；可再生能源与气候变化；二氧化碳捕获和封存；全球温室气体排放概况。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球气候变化文献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2.</w:t>
            </w:r>
            <w:r>
              <w:t>欧洲的环境状况与变化趋势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欧洲环境状态与展望；</w:t>
            </w:r>
            <w:r>
              <w:t>2017</w:t>
            </w:r>
            <w:r>
              <w:t>中国环境状况公报；对比。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欧洲的环境状况文献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3.</w:t>
            </w:r>
            <w:r>
              <w:t>美国的环境状况与变化趋势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美国大气质量评估报告；美国河流水质评价报告；美国湖泊质量评价；</w:t>
            </w:r>
            <w:r>
              <w:t>2017</w:t>
            </w:r>
            <w:r>
              <w:t>中国环境状况公报；对比。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美国的环境状况文献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4.</w:t>
            </w:r>
            <w:r>
              <w:t>雾</w:t>
            </w:r>
            <w:proofErr w:type="gramStart"/>
            <w:r>
              <w:t>霾</w:t>
            </w:r>
            <w:proofErr w:type="gramEnd"/>
            <w:r>
              <w:t>源解析与治理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中国北方雾</w:t>
            </w:r>
            <w:proofErr w:type="gramStart"/>
            <w:r>
              <w:t>霾</w:t>
            </w:r>
            <w:proofErr w:type="gramEnd"/>
            <w:r>
              <w:t>成因；近五十年中国晴天能见度趋势；二次气溶胶对中国雾</w:t>
            </w:r>
            <w:proofErr w:type="gramStart"/>
            <w:r>
              <w:t>霾</w:t>
            </w:r>
            <w:proofErr w:type="gramEnd"/>
            <w:r>
              <w:t>事件的贡献；</w:t>
            </w:r>
            <w:r>
              <w:t>2013</w:t>
            </w:r>
            <w:r>
              <w:t>年北京极端雾</w:t>
            </w:r>
            <w:proofErr w:type="gramStart"/>
            <w:r>
              <w:t>霾</w:t>
            </w:r>
            <w:proofErr w:type="gramEnd"/>
            <w:r>
              <w:t>的气溶胶化学分析；中国三大典型趋于极端</w:t>
            </w:r>
            <w:proofErr w:type="gramStart"/>
            <w:r>
              <w:t>霾</w:t>
            </w:r>
            <w:proofErr w:type="gramEnd"/>
            <w:r>
              <w:t>污染成因及特征分析。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雾</w:t>
            </w:r>
            <w:proofErr w:type="gramStart"/>
            <w:r>
              <w:t>霾</w:t>
            </w:r>
            <w:proofErr w:type="gramEnd"/>
            <w:r>
              <w:t>源解析文献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4.</w:t>
            </w:r>
            <w:r>
              <w:t>雾</w:t>
            </w:r>
            <w:proofErr w:type="gramStart"/>
            <w:r>
              <w:t>霾</w:t>
            </w:r>
            <w:proofErr w:type="gramEnd"/>
            <w:r>
              <w:t>源解析与治理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中国北方雾</w:t>
            </w:r>
            <w:proofErr w:type="gramStart"/>
            <w:r>
              <w:t>霾</w:t>
            </w:r>
            <w:proofErr w:type="gramEnd"/>
            <w:r>
              <w:t>成因；近五十年中国晴天能见度趋势；二次气溶胶对中国雾</w:t>
            </w:r>
            <w:proofErr w:type="gramStart"/>
            <w:r>
              <w:t>霾</w:t>
            </w:r>
            <w:proofErr w:type="gramEnd"/>
            <w:r>
              <w:t>事件的贡献；</w:t>
            </w:r>
            <w:r>
              <w:t>2013</w:t>
            </w:r>
            <w:r>
              <w:t>年北京极端雾</w:t>
            </w:r>
            <w:proofErr w:type="gramStart"/>
            <w:r>
              <w:t>霾</w:t>
            </w:r>
            <w:proofErr w:type="gramEnd"/>
            <w:r>
              <w:t>的气溶胶化学分析；中国三大典型趋于极端</w:t>
            </w:r>
            <w:proofErr w:type="gramStart"/>
            <w:r>
              <w:t>霾</w:t>
            </w:r>
            <w:proofErr w:type="gramEnd"/>
            <w:r>
              <w:t>污染成因及特征分析。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雾</w:t>
            </w:r>
            <w:proofErr w:type="gramStart"/>
            <w:r>
              <w:t>霾</w:t>
            </w:r>
            <w:proofErr w:type="gramEnd"/>
            <w:r>
              <w:t>源解析文献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5.</w:t>
            </w:r>
            <w:r>
              <w:t>大都市污水雨水系统治理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洛杉矶污水系统管理计划；</w:t>
            </w:r>
            <w:proofErr w:type="gramStart"/>
            <w:r>
              <w:t>芝加哥隧库计划</w:t>
            </w:r>
            <w:proofErr w:type="gramEnd"/>
            <w:r>
              <w:t>；芝加哥雨水管理</w:t>
            </w:r>
            <w:r>
              <w:t>-</w:t>
            </w:r>
            <w:r>
              <w:t>绿色基础设施建设。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大都市污水雨水系统文献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6.</w:t>
            </w:r>
            <w:r>
              <w:t>流域水环境综合治理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切萨皮克湾流域</w:t>
            </w:r>
            <w:r>
              <w:t>TMDL</w:t>
            </w:r>
            <w:r>
              <w:t>；切萨皮克湾流域综合治理解剖。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流域水环境综合治理文献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7.</w:t>
            </w:r>
            <w:r>
              <w:t>美国污水处理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美国的污水处理（过去现在和未来）；华盛顿的污水处理系统；纽约的污水处理系统；美国污水回用；美国水行业的未来规划（蓝印行动）。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美国污水处理文献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10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7.</w:t>
            </w:r>
            <w:r>
              <w:t>美国污水处理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美国的污水处理（过去现在和未来）；华盛顿的污水处理系统；纽约的污水处理系统；美国污水回用；美国水行业的未来规划（蓝印行动）。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美国污水处理文献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11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8.</w:t>
            </w:r>
            <w:r>
              <w:t>污水处理技术及进展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传统污水处理技术；低能耗技术；厌氧氨氧化技术；污水处理未来技术路线图；梳理水循环技术问题。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污水处理技术及进展文献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12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8.</w:t>
            </w:r>
            <w:r>
              <w:t>污水处理技术及进展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传统污水处理技术；梳理低能耗技术；厌氧氨氧化技术；污水处理未来技术路线图；水循环技术问题。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污水处理技术及进展文献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9.</w:t>
            </w:r>
            <w:r>
              <w:t>固体废弃物处理处置及循环利用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厌氧消化技术（</w:t>
            </w:r>
            <w:proofErr w:type="gramStart"/>
            <w:r>
              <w:t>含共消化</w:t>
            </w:r>
            <w:proofErr w:type="gramEnd"/>
            <w:r>
              <w:t>）；好氧发酵（堆肥）技术；焚烧技术。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固体废弃物处理处置及循环利用文献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9.</w:t>
            </w:r>
            <w:r>
              <w:t>固体废弃物处理处置及循环利用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厌氧消化技术（</w:t>
            </w:r>
            <w:proofErr w:type="gramStart"/>
            <w:r>
              <w:t>含共消化</w:t>
            </w:r>
            <w:proofErr w:type="gramEnd"/>
            <w:r>
              <w:t>）；好氧发酵（堆肥）技术；焚烧技术。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固体废弃物处理处置及循环利用文献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9.</w:t>
            </w:r>
            <w:r>
              <w:t>固体废弃物处理处置及循环利用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厌氧消化技术（</w:t>
            </w:r>
            <w:proofErr w:type="gramStart"/>
            <w:r>
              <w:t>含共消化</w:t>
            </w:r>
            <w:proofErr w:type="gramEnd"/>
            <w:r>
              <w:t>）；好氧发酵（堆肥）技术；焚烧技术。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>
            <w:r>
              <w:t>固体废弃物处理处置及循环利用文献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90653" w:rsidRDefault="00C90653" w:rsidP="00C90653">
            <w:r>
              <w:t xml:space="preserve">18-25 </w:t>
            </w: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综合报告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水专项课题研究进展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/>
        </w:tc>
        <w:tc>
          <w:tcPr>
            <w:tcW w:w="1426" w:type="dxa"/>
            <w:vAlign w:val="center"/>
          </w:tcPr>
          <w:p w:rsidR="00C90653" w:rsidRDefault="00C90653" w:rsidP="00C906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综合报告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水专项课题研究进展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/>
        </w:tc>
        <w:tc>
          <w:tcPr>
            <w:tcW w:w="1426" w:type="dxa"/>
            <w:vAlign w:val="center"/>
          </w:tcPr>
          <w:p w:rsidR="00C90653" w:rsidRDefault="00C90653" w:rsidP="00C906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综合报告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>
            <w:r>
              <w:t>水专项课题研究进展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90653" w:rsidRDefault="00C90653" w:rsidP="00C90653"/>
        </w:tc>
        <w:tc>
          <w:tcPr>
            <w:tcW w:w="1426" w:type="dxa"/>
            <w:vAlign w:val="center"/>
          </w:tcPr>
          <w:p w:rsidR="00C90653" w:rsidRDefault="00C90653" w:rsidP="00C906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90653" w:rsidRPr="00037273" w:rsidTr="00C90653">
        <w:trPr>
          <w:trHeight w:hRule="exact" w:val="624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53" w:rsidRPr="00037273" w:rsidRDefault="00C90653" w:rsidP="00C90653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90653" w:rsidRDefault="00C90653" w:rsidP="00C90653">
            <w:r>
              <w:t>考试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90653" w:rsidRDefault="00C90653" w:rsidP="00C90653"/>
        </w:tc>
        <w:tc>
          <w:tcPr>
            <w:tcW w:w="1231" w:type="dxa"/>
            <w:vAlign w:val="center"/>
          </w:tcPr>
          <w:p w:rsidR="00C90653" w:rsidRDefault="00C90653" w:rsidP="00C906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90653" w:rsidRDefault="00C90653" w:rsidP="00C906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C849D0" w:rsidRDefault="00C90653" w:rsidP="00CC4529">
      <w:pPr>
        <w:adjustRightInd w:val="0"/>
        <w:snapToGrid w:val="0"/>
        <w:spacing w:line="300" w:lineRule="auto"/>
        <w:ind w:firstLineChars="200" w:firstLine="420"/>
      </w:pPr>
      <w:r>
        <w:t>大批课程学习资料。</w:t>
      </w:r>
    </w:p>
    <w:p w:rsidR="00C90653" w:rsidRDefault="00C90653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90653" w:rsidRDefault="00C90653" w:rsidP="00CC4529">
      <w:pPr>
        <w:adjustRightInd w:val="0"/>
        <w:snapToGrid w:val="0"/>
        <w:spacing w:line="300" w:lineRule="auto"/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E4" w:rsidRDefault="00D70EE4" w:rsidP="00306D4E">
      <w:r>
        <w:separator/>
      </w:r>
    </w:p>
  </w:endnote>
  <w:endnote w:type="continuationSeparator" w:id="0">
    <w:p w:rsidR="00D70EE4" w:rsidRDefault="00D70EE4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E4" w:rsidRDefault="00D70EE4" w:rsidP="00306D4E">
      <w:r>
        <w:separator/>
      </w:r>
    </w:p>
  </w:footnote>
  <w:footnote w:type="continuationSeparator" w:id="0">
    <w:p w:rsidR="00D70EE4" w:rsidRDefault="00D70EE4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E62E8"/>
    <w:rsid w:val="00137AD6"/>
    <w:rsid w:val="00257641"/>
    <w:rsid w:val="002832A5"/>
    <w:rsid w:val="00306D4E"/>
    <w:rsid w:val="0039325E"/>
    <w:rsid w:val="004007BE"/>
    <w:rsid w:val="00444058"/>
    <w:rsid w:val="004D4635"/>
    <w:rsid w:val="00635629"/>
    <w:rsid w:val="00650D41"/>
    <w:rsid w:val="006866C8"/>
    <w:rsid w:val="006A2D11"/>
    <w:rsid w:val="0076340D"/>
    <w:rsid w:val="008F5A0A"/>
    <w:rsid w:val="009B6A27"/>
    <w:rsid w:val="009D5A15"/>
    <w:rsid w:val="00A04B47"/>
    <w:rsid w:val="00A571E6"/>
    <w:rsid w:val="00A97A03"/>
    <w:rsid w:val="00AE165E"/>
    <w:rsid w:val="00B33465"/>
    <w:rsid w:val="00B70361"/>
    <w:rsid w:val="00BE3CE6"/>
    <w:rsid w:val="00C44579"/>
    <w:rsid w:val="00C849D0"/>
    <w:rsid w:val="00C90653"/>
    <w:rsid w:val="00CC4529"/>
    <w:rsid w:val="00CD41F1"/>
    <w:rsid w:val="00D70EE4"/>
    <w:rsid w:val="00E71E0C"/>
    <w:rsid w:val="00E9527B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0683F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12</cp:revision>
  <dcterms:created xsi:type="dcterms:W3CDTF">2016-12-14T06:43:00Z</dcterms:created>
  <dcterms:modified xsi:type="dcterms:W3CDTF">2018-09-27T08:37:00Z</dcterms:modified>
</cp:coreProperties>
</file>